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EBE" w:rsidRDefault="007D3EBE" w:rsidP="007D3EBE">
      <w:pPr>
        <w:spacing w:after="0" w:line="480" w:lineRule="auto"/>
        <w:rPr>
          <w:rFonts w:ascii="Times New Roman" w:hAnsi="Times New Roman"/>
          <w:sz w:val="24"/>
          <w:szCs w:val="24"/>
        </w:rPr>
      </w:pPr>
      <w:bookmarkStart w:id="0" w:name="_GoBack"/>
      <w:bookmarkEnd w:id="0"/>
      <w:r>
        <w:rPr>
          <w:rFonts w:ascii="Times New Roman" w:hAnsi="Times New Roman"/>
          <w:sz w:val="24"/>
          <w:szCs w:val="24"/>
        </w:rPr>
        <w:t>Student Name:</w:t>
      </w:r>
    </w:p>
    <w:p w:rsidR="007D3EBE" w:rsidRDefault="007D3EBE" w:rsidP="007D3EBE">
      <w:pPr>
        <w:spacing w:after="0" w:line="480" w:lineRule="auto"/>
        <w:rPr>
          <w:rFonts w:ascii="Times New Roman" w:hAnsi="Times New Roman"/>
          <w:sz w:val="24"/>
          <w:szCs w:val="24"/>
        </w:rPr>
      </w:pPr>
      <w:r>
        <w:rPr>
          <w:rFonts w:ascii="Times New Roman" w:hAnsi="Times New Roman"/>
          <w:sz w:val="24"/>
          <w:szCs w:val="24"/>
        </w:rPr>
        <w:t>Professor’s Name:</w:t>
      </w:r>
    </w:p>
    <w:p w:rsidR="007D3EBE" w:rsidRDefault="007D3EBE" w:rsidP="007D3EBE">
      <w:pPr>
        <w:spacing w:after="0" w:line="480" w:lineRule="auto"/>
        <w:rPr>
          <w:rFonts w:ascii="Times New Roman" w:hAnsi="Times New Roman"/>
          <w:sz w:val="24"/>
          <w:szCs w:val="24"/>
        </w:rPr>
      </w:pPr>
      <w:r>
        <w:rPr>
          <w:rFonts w:ascii="Times New Roman" w:hAnsi="Times New Roman"/>
          <w:sz w:val="24"/>
          <w:szCs w:val="24"/>
        </w:rPr>
        <w:t>Course:</w:t>
      </w:r>
    </w:p>
    <w:p w:rsidR="007D3EBE" w:rsidRDefault="007D3EBE" w:rsidP="007D3EBE">
      <w:pPr>
        <w:spacing w:after="0" w:line="480" w:lineRule="auto"/>
        <w:rPr>
          <w:rFonts w:ascii="Times New Roman" w:hAnsi="Times New Roman"/>
          <w:sz w:val="24"/>
          <w:szCs w:val="24"/>
        </w:rPr>
      </w:pPr>
      <w:r>
        <w:rPr>
          <w:rFonts w:ascii="Times New Roman" w:hAnsi="Times New Roman"/>
          <w:sz w:val="24"/>
          <w:szCs w:val="24"/>
        </w:rPr>
        <w:t>Date:</w:t>
      </w:r>
    </w:p>
    <w:p w:rsidR="007A1242" w:rsidRDefault="007A1242" w:rsidP="007A1242">
      <w:pPr>
        <w:spacing w:line="480" w:lineRule="auto"/>
        <w:jc w:val="center"/>
        <w:rPr>
          <w:rFonts w:ascii="Times New Roman" w:hAnsi="Times New Roman"/>
          <w:sz w:val="24"/>
          <w:szCs w:val="24"/>
        </w:rPr>
      </w:pPr>
      <w:r w:rsidRPr="007A1242">
        <w:rPr>
          <w:rFonts w:ascii="Times New Roman" w:hAnsi="Times New Roman"/>
          <w:sz w:val="24"/>
          <w:szCs w:val="24"/>
        </w:rPr>
        <w:t>Ethics of Patenting DNA</w:t>
      </w:r>
    </w:p>
    <w:p w:rsidR="007A1242" w:rsidRPr="00124898" w:rsidRDefault="007A1242" w:rsidP="007A1242">
      <w:pPr>
        <w:spacing w:line="480" w:lineRule="auto"/>
        <w:ind w:firstLine="360"/>
        <w:rPr>
          <w:rFonts w:ascii="Times New Roman" w:hAnsi="Times New Roman"/>
          <w:sz w:val="24"/>
          <w:szCs w:val="24"/>
        </w:rPr>
      </w:pPr>
      <w:r w:rsidRPr="00124898">
        <w:rPr>
          <w:rFonts w:ascii="Times New Roman" w:hAnsi="Times New Roman"/>
          <w:sz w:val="24"/>
          <w:szCs w:val="24"/>
        </w:rPr>
        <w:t xml:space="preserve">As indicated by the examination done by Chuang and Lau (2054) announced that the quantity of DNA-related licenses surpasses 40,000 in the U.S this is almost 20% of the human gene, this is related to any US patent. Despite the work on being essential for the framework till to date, there has been mixed contention to protecting human qualities. It has been the subject of endless strategy reports as well as, in certain wards, of extraordinary media examination, its greater part negative (Chuang and Lau 2054; Simoncelli 03:15-05:21; Wendover Productions 03:15-05:21). In that light, this content will check if </w:t>
      </w:r>
    </w:p>
    <w:p w:rsidR="007A1242" w:rsidRPr="00124898" w:rsidRDefault="007A1242" w:rsidP="007A1242">
      <w:pPr>
        <w:pStyle w:val="ListParagraph"/>
        <w:numPr>
          <w:ilvl w:val="0"/>
          <w:numId w:val="1"/>
        </w:numPr>
        <w:spacing w:line="480" w:lineRule="auto"/>
        <w:rPr>
          <w:rFonts w:ascii="Times New Roman" w:hAnsi="Times New Roman" w:cs="Times New Roman"/>
          <w:sz w:val="24"/>
          <w:szCs w:val="24"/>
        </w:rPr>
      </w:pPr>
      <w:r w:rsidRPr="00124898">
        <w:rPr>
          <w:rFonts w:ascii="Times New Roman" w:hAnsi="Times New Roman" w:cs="Times New Roman"/>
          <w:sz w:val="24"/>
          <w:szCs w:val="24"/>
        </w:rPr>
        <w:t xml:space="preserve">Patenting a component of life unethical because it permits purchasing or regarding hereditary material as property? </w:t>
      </w:r>
    </w:p>
    <w:p w:rsidR="007A1242" w:rsidRPr="00124898" w:rsidRDefault="007A1242" w:rsidP="007A1242">
      <w:pPr>
        <w:pStyle w:val="ListParagraph"/>
        <w:numPr>
          <w:ilvl w:val="0"/>
          <w:numId w:val="1"/>
        </w:numPr>
        <w:spacing w:line="480" w:lineRule="auto"/>
        <w:rPr>
          <w:rFonts w:ascii="Times New Roman" w:hAnsi="Times New Roman" w:cs="Times New Roman"/>
          <w:sz w:val="24"/>
          <w:szCs w:val="24"/>
        </w:rPr>
      </w:pPr>
      <w:r w:rsidRPr="00124898">
        <w:rPr>
          <w:rFonts w:ascii="Times New Roman" w:hAnsi="Times New Roman" w:cs="Times New Roman"/>
          <w:sz w:val="24"/>
          <w:szCs w:val="24"/>
        </w:rPr>
        <w:t>Should an individual or an organization have to claim a piece, all things considered?</w:t>
      </w:r>
    </w:p>
    <w:p w:rsidR="007A1242" w:rsidRPr="00886F2A" w:rsidRDefault="007A1242" w:rsidP="007A1242">
      <w:pPr>
        <w:spacing w:line="0" w:lineRule="atLeast"/>
        <w:rPr>
          <w:rFonts w:ascii="Times New Roman" w:eastAsia="Times New Roman" w:hAnsi="Times New Roman" w:cstheme="minorBidi"/>
          <w:b/>
          <w:sz w:val="24"/>
        </w:rPr>
      </w:pPr>
      <w:r w:rsidRPr="00886F2A">
        <w:rPr>
          <w:rFonts w:ascii="Times New Roman" w:eastAsia="Times New Roman" w:hAnsi="Times New Roman"/>
          <w:b/>
          <w:sz w:val="24"/>
        </w:rPr>
        <w:t>Proteins, Genes, and DNA</w:t>
      </w:r>
    </w:p>
    <w:p w:rsidR="007A1242" w:rsidRPr="00304586" w:rsidRDefault="007A1242" w:rsidP="007A1242">
      <w:pPr>
        <w:spacing w:after="200" w:line="48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886F2A">
        <w:rPr>
          <w:rFonts w:ascii="Times New Roman" w:hAnsi="Times New Roman"/>
          <w:sz w:val="24"/>
          <w:szCs w:val="24"/>
        </w:rPr>
        <w:t xml:space="preserve">To begin let us start by portraying genes and gene patent. Qualities are discrete segments of DNA particles that contain the information crucial for making unequivocal proteins. DNA has included a progression of units called nucleotides. The standard portions of these nucleotides are bases, which are coordinated in a specific arrangement. There are four extraordinary bases in DNA: adenine (A), thymine (T), cytosine (C), and guanine (G). These bases are fortified together in pairs, A with T and C with G, to make the DNA twofold helix. Characteristics can go in size from under 100 base sets to two or three million base matches and are disengaged from one another by spacer DNA. The base progression is the </w:t>
      </w:r>
      <w:r w:rsidRPr="00886F2A">
        <w:rPr>
          <w:rFonts w:ascii="Times New Roman" w:hAnsi="Times New Roman"/>
          <w:sz w:val="24"/>
          <w:szCs w:val="24"/>
        </w:rPr>
        <w:lastRenderedPageBreak/>
        <w:t>vital component of the quality. It is this gathering that passes on the innate information essential for the blend of an RNA molecule that may therefore organize the association of a protein iota or may itself be utilitarian in the phone. This cycle is called quality enunciation; it has two stages. The chief stage in quality explanation is the record; the cycle by which the quality's DNA course of action is copied into RNA and the resulting stage is the translation the cycle by which RNA organizes the mix of a protein. Proteins are made out of amino acids and are the particles that do make by the cell. The entire DNA in a natural substance is known as the genome</w:t>
      </w:r>
      <w:r w:rsidRPr="001117EC">
        <w:t xml:space="preserve"> </w:t>
      </w:r>
      <w:r>
        <w:t>(University of Leicester)</w:t>
      </w:r>
      <w:r w:rsidRPr="00886F2A">
        <w:rPr>
          <w:rFonts w:ascii="Times New Roman" w:hAnsi="Times New Roman"/>
          <w:sz w:val="24"/>
          <w:szCs w:val="24"/>
        </w:rPr>
        <w:t>.</w:t>
      </w:r>
    </w:p>
    <w:p w:rsidR="007A1242" w:rsidRDefault="007A1242" w:rsidP="007A1242">
      <w:pPr>
        <w:spacing w:line="480" w:lineRule="auto"/>
        <w:ind w:firstLine="720"/>
        <w:rPr>
          <w:rFonts w:ascii="Times New Roman" w:hAnsi="Times New Roman"/>
          <w:sz w:val="24"/>
          <w:szCs w:val="24"/>
        </w:rPr>
      </w:pPr>
      <w:r w:rsidRPr="006F4FA8">
        <w:rPr>
          <w:rFonts w:ascii="Times New Roman" w:hAnsi="Times New Roman"/>
          <w:sz w:val="24"/>
          <w:szCs w:val="24"/>
        </w:rPr>
        <w:t xml:space="preserve">Patents are elite rights took into account a confined time span by states through their overall arrangements of laws to creators to shield others from abusing the patent holder's development. Patent applications contain claims which set out the specific thought of the confirmation. The business abuse of something inside the degree of the instance of a patent that has been truth be told, without the endorsement of the owner of the patent, is called infringement. Models for giving a patent: the stated advancement ought to be equipped for authorizing; it ought to be original, innovative or non-irrefutable, important or have a cutting edge application, totally uncovered in the patent application. </w:t>
      </w:r>
    </w:p>
    <w:p w:rsidR="007A1242" w:rsidRDefault="007A1242" w:rsidP="007A1242">
      <w:pPr>
        <w:spacing w:line="480" w:lineRule="auto"/>
        <w:ind w:firstLine="720"/>
        <w:rPr>
          <w:rFonts w:ascii="Times New Roman" w:hAnsi="Times New Roman"/>
          <w:sz w:val="24"/>
          <w:szCs w:val="24"/>
        </w:rPr>
      </w:pPr>
      <w:r w:rsidRPr="006F4FA8">
        <w:rPr>
          <w:rFonts w:ascii="Times New Roman" w:hAnsi="Times New Roman"/>
          <w:sz w:val="24"/>
          <w:szCs w:val="24"/>
        </w:rPr>
        <w:t xml:space="preserve">Besides, to be qualified, advancement ought not to be contrary to the moral quality or solicitation public. Licenses are a sort of Intellectual Property (IP) which gives rights over creation on its maker. These are focal points which enable makers to benefit by their turn of events, subject to more broad necessities, for instance, public interest and the IP and advantages of others. Various sorts of IP are copyright, enrolled plans and brand names. The overall destinations of the patent structure are to stimulate headway for the public incredible and to compensate people for significant new manifestations. The patent structure intends to achieve this by allowing makers specific rights for a confined period to mishandle their turns </w:t>
      </w:r>
      <w:r w:rsidRPr="006F4FA8">
        <w:rPr>
          <w:rFonts w:ascii="Times New Roman" w:hAnsi="Times New Roman"/>
          <w:sz w:val="24"/>
          <w:szCs w:val="24"/>
        </w:rPr>
        <w:lastRenderedPageBreak/>
        <w:t>of events, while at the same time propelling contention and progression by ensuring that such developments are totally uncovered to individuals as a rule.</w:t>
      </w:r>
    </w:p>
    <w:p w:rsidR="007A1242" w:rsidRDefault="007A1242" w:rsidP="007A1242">
      <w:pPr>
        <w:spacing w:line="480" w:lineRule="auto"/>
        <w:rPr>
          <w:rFonts w:ascii="Times New Roman" w:hAnsi="Times New Roman"/>
          <w:b/>
          <w:sz w:val="24"/>
          <w:szCs w:val="24"/>
        </w:rPr>
      </w:pPr>
      <w:r w:rsidRPr="006F4FA8">
        <w:rPr>
          <w:rFonts w:ascii="Times New Roman" w:hAnsi="Times New Roman"/>
          <w:b/>
          <w:sz w:val="24"/>
          <w:szCs w:val="24"/>
        </w:rPr>
        <w:t>Ethical Concerns about Patenting DNA</w:t>
      </w:r>
    </w:p>
    <w:p w:rsidR="007A1242" w:rsidRDefault="007A1242" w:rsidP="007A1242">
      <w:pPr>
        <w:spacing w:line="480" w:lineRule="auto"/>
        <w:ind w:firstLine="720"/>
        <w:rPr>
          <w:rFonts w:ascii="Times New Roman" w:hAnsi="Times New Roman"/>
          <w:sz w:val="24"/>
          <w:szCs w:val="24"/>
        </w:rPr>
      </w:pPr>
      <w:r w:rsidRPr="00D86809">
        <w:rPr>
          <w:rFonts w:ascii="Times New Roman" w:hAnsi="Times New Roman"/>
          <w:sz w:val="24"/>
          <w:szCs w:val="24"/>
        </w:rPr>
        <w:t xml:space="preserve">DNA patent is a touchy theme in the exploration and in strategy formulation. In this correspondent, the </w:t>
      </w:r>
      <w:r>
        <w:rPr>
          <w:rFonts w:ascii="Times New Roman" w:hAnsi="Times New Roman"/>
          <w:sz w:val="24"/>
          <w:szCs w:val="24"/>
        </w:rPr>
        <w:t xml:space="preserve">concern is pertinent to the theme under review is the qualities and genetic transformations being </w:t>
      </w:r>
      <w:r w:rsidRPr="00D86809">
        <w:rPr>
          <w:rFonts w:ascii="Times New Roman" w:hAnsi="Times New Roman"/>
          <w:sz w:val="24"/>
          <w:szCs w:val="24"/>
        </w:rPr>
        <w:t>asserted for business. It is contended that the human genome is special and unmistakable, so it ought to be dealt with uniquely in contrast to others, for example, the genomes of animals or maize</w:t>
      </w:r>
      <w:r>
        <w:t>(Chuang and Lau 2054; Simoncelli 03:15-05:21; Wendover Productions 03:15-05:21</w:t>
      </w:r>
      <w:r w:rsidRPr="00D86809">
        <w:rPr>
          <w:rFonts w:ascii="Times New Roman" w:hAnsi="Times New Roman"/>
          <w:sz w:val="24"/>
          <w:szCs w:val="24"/>
        </w:rPr>
        <w:t>. Some case that there ought to be no property rights in genetics while others guarantee that there might be property rights identifying with genes, such rights ought to be the subject of shared publicly instead of being a private property to a single or multiple firms.</w:t>
      </w:r>
    </w:p>
    <w:p w:rsidR="007A1242" w:rsidRDefault="007A1242" w:rsidP="007A1242">
      <w:pPr>
        <w:spacing w:line="480" w:lineRule="auto"/>
        <w:ind w:firstLine="720"/>
        <w:rPr>
          <w:rFonts w:ascii="Times New Roman" w:hAnsi="Times New Roman"/>
          <w:sz w:val="24"/>
          <w:szCs w:val="24"/>
        </w:rPr>
      </w:pPr>
      <w:r w:rsidRPr="00124898">
        <w:rPr>
          <w:rFonts w:ascii="Times New Roman" w:hAnsi="Times New Roman"/>
          <w:sz w:val="24"/>
          <w:szCs w:val="24"/>
        </w:rPr>
        <w:t>Human DNA represents something fundamental about people themselves, and, all things considered, raises the issue of human nobility. While we might have the option to regard that nobility and still offer the licensed innovation insurances critical to sedate turn of events, it is indiscreet to overlook boundless public worry about how we manage the structure squares of human existence</w:t>
      </w:r>
    </w:p>
    <w:p w:rsidR="007A1242" w:rsidRDefault="007A1242" w:rsidP="007A1242">
      <w:pPr>
        <w:spacing w:line="480" w:lineRule="auto"/>
        <w:rPr>
          <w:rFonts w:ascii="Times New Roman" w:hAnsi="Times New Roman"/>
          <w:b/>
          <w:sz w:val="24"/>
          <w:szCs w:val="24"/>
        </w:rPr>
      </w:pPr>
      <w:r w:rsidRPr="00124898">
        <w:rPr>
          <w:rFonts w:ascii="Times New Roman" w:hAnsi="Times New Roman"/>
          <w:b/>
          <w:sz w:val="24"/>
          <w:szCs w:val="24"/>
        </w:rPr>
        <w:t>Inalienable Nature of Genes</w:t>
      </w:r>
    </w:p>
    <w:p w:rsidR="007A1242" w:rsidRPr="007A1242" w:rsidRDefault="007A1242" w:rsidP="007A1242">
      <w:pPr>
        <w:spacing w:after="0" w:line="480" w:lineRule="auto"/>
        <w:ind w:firstLine="720"/>
        <w:rPr>
          <w:rFonts w:ascii="Times New Roman" w:hAnsi="Times New Roman"/>
          <w:sz w:val="24"/>
          <w:szCs w:val="24"/>
        </w:rPr>
      </w:pPr>
      <w:r w:rsidRPr="0043357C">
        <w:rPr>
          <w:rFonts w:ascii="Times New Roman" w:hAnsi="Times New Roman"/>
          <w:sz w:val="24"/>
          <w:szCs w:val="24"/>
        </w:rPr>
        <w:t xml:space="preserve">Human DNA addresses something major about individuals themselves, and, in light of everything, raises the issue of basic nature of Genes at the different phases of its arrangement and advancement, and the straightforward disclosure of one of its components, including the grouping or fractional succession of a quality, can't comprise patentable innovations. Nonetheless, as indicated by Article 5 of the European Directive on the legitimate security of biotechnological developments (Europe Union) a component </w:t>
      </w:r>
      <w:r w:rsidRPr="0043357C">
        <w:rPr>
          <w:rFonts w:ascii="Times New Roman" w:hAnsi="Times New Roman"/>
          <w:sz w:val="24"/>
          <w:szCs w:val="24"/>
        </w:rPr>
        <w:lastRenderedPageBreak/>
        <w:t>disconnected from the human body or in any case created through a specialized cycle, including the succession or incomplete</w:t>
      </w:r>
      <w:r>
        <w:rPr>
          <w:rFonts w:ascii="Times New Roman" w:hAnsi="Times New Roman"/>
          <w:sz w:val="24"/>
          <w:szCs w:val="24"/>
        </w:rPr>
        <w:t xml:space="preserve"> </w:t>
      </w:r>
      <w:r w:rsidRPr="007A1242">
        <w:rPr>
          <w:rFonts w:ascii="Times New Roman" w:hAnsi="Times New Roman"/>
          <w:sz w:val="24"/>
          <w:szCs w:val="24"/>
        </w:rPr>
        <w:t xml:space="preserve">grouping of quality, may comprise a patentable innovation, regardless of whether the design of that component is indistinguishable from that of a characteristic component. </w:t>
      </w:r>
    </w:p>
    <w:p w:rsidR="007A1242" w:rsidRPr="007A1242" w:rsidRDefault="007A1242" w:rsidP="007A1242">
      <w:pPr>
        <w:spacing w:after="0" w:line="480" w:lineRule="auto"/>
        <w:ind w:firstLine="720"/>
        <w:rPr>
          <w:rFonts w:ascii="Times New Roman" w:hAnsi="Times New Roman"/>
          <w:sz w:val="24"/>
          <w:szCs w:val="24"/>
        </w:rPr>
      </w:pPr>
      <w:r w:rsidRPr="007A1242">
        <w:rPr>
          <w:rFonts w:ascii="Times New Roman" w:hAnsi="Times New Roman"/>
          <w:sz w:val="24"/>
          <w:szCs w:val="24"/>
        </w:rPr>
        <w:t>Subsequently, the lawful appropriate for a firm to patent human DNA is tremendously worthy. Dissimilar to on account of Myriad Genetics, Inc., that claims licenses on confined types of 2 human qualities, BRCA1 and BRCA2 which have been connected to inherited breast and ovarian malignant growth. As the proprietor of the patent, Myriad can keep others from utilizing BRCA1 and BRCA2 in the examination, demonstrative, and remedial applications. Along these lines, the American Civil Liberties Union and the Public Patent Foundation documented a claim guaranteeing that Myriad's licenses were invalid, smothered biomedical examination and analytic testing, and restricted patients' admittance to clinical consideration. The court concurred with the offended parties and found that confined quality groupings are not patentable because they are not extraordinary from the quality successions as they exist in nature (Chuang and Lau 2054; Simoncelli 03:15-05:21).</w:t>
      </w:r>
    </w:p>
    <w:p w:rsidR="007A1242" w:rsidRPr="007A1242" w:rsidRDefault="007A1242" w:rsidP="007A1242">
      <w:pPr>
        <w:spacing w:after="0" w:line="480" w:lineRule="auto"/>
        <w:rPr>
          <w:rFonts w:ascii="Times New Roman" w:hAnsi="Times New Roman"/>
          <w:b/>
          <w:sz w:val="24"/>
          <w:szCs w:val="24"/>
        </w:rPr>
      </w:pPr>
      <w:r w:rsidRPr="007A1242">
        <w:rPr>
          <w:rFonts w:ascii="Times New Roman" w:hAnsi="Times New Roman"/>
          <w:b/>
          <w:sz w:val="24"/>
          <w:szCs w:val="24"/>
        </w:rPr>
        <w:t>Genes as Public Property</w:t>
      </w:r>
    </w:p>
    <w:p w:rsidR="007A1242" w:rsidRPr="007A1242" w:rsidRDefault="007A1242" w:rsidP="007A1242">
      <w:pPr>
        <w:spacing w:after="0" w:line="480" w:lineRule="auto"/>
        <w:ind w:firstLine="720"/>
        <w:rPr>
          <w:rFonts w:ascii="Times New Roman" w:hAnsi="Times New Roman"/>
          <w:sz w:val="24"/>
          <w:szCs w:val="24"/>
        </w:rPr>
      </w:pPr>
      <w:r w:rsidRPr="007A1242">
        <w:rPr>
          <w:rFonts w:ascii="Times New Roman" w:hAnsi="Times New Roman"/>
          <w:sz w:val="24"/>
          <w:szCs w:val="24"/>
        </w:rPr>
        <w:t>As on account of Myriad Genetics, Inc., that cased licenses 2 human qualities, BRCA1 and BRCA2 which have been associated with acquired breast and ovarian malignant growth. Myriad had been able to charge excessive costs to organizations wishing to utilize these qualities, which the organization utilized and misdiagnosed for undetected disease cells in various gatherings (Chuang and Lau 2054; Simoncelli 03:15-05:21). For this situation, the human quality ought to have been own by general society since it was a characteristic event.</w:t>
      </w:r>
    </w:p>
    <w:p w:rsidR="007A1242" w:rsidRPr="007A1242" w:rsidRDefault="007A1242" w:rsidP="007A1242">
      <w:pPr>
        <w:spacing w:after="0" w:line="480" w:lineRule="auto"/>
        <w:ind w:firstLine="720"/>
        <w:rPr>
          <w:rFonts w:ascii="Times New Roman" w:hAnsi="Times New Roman"/>
          <w:sz w:val="24"/>
          <w:szCs w:val="24"/>
        </w:rPr>
      </w:pPr>
      <w:r w:rsidRPr="007A1242">
        <w:rPr>
          <w:rFonts w:ascii="Times New Roman" w:hAnsi="Times New Roman"/>
          <w:sz w:val="24"/>
          <w:szCs w:val="24"/>
        </w:rPr>
        <w:t xml:space="preserve">Be that as it may since it is a newfound human quality by the Myriad Genetics, Inc., the element (Myriad Genetics, Inc) that finds another capacity of a realized DNA arrangement, from a known infection, can patent a strategy for utilizing the detached </w:t>
      </w:r>
      <w:r w:rsidRPr="007A1242">
        <w:rPr>
          <w:rFonts w:ascii="Times New Roman" w:hAnsi="Times New Roman"/>
          <w:sz w:val="24"/>
          <w:szCs w:val="24"/>
        </w:rPr>
        <w:lastRenderedPageBreak/>
        <w:t>grouping to distinguish weakness to that sickness. Segregated DNA successions don't happen in nature. However, in this case, indisputably Biodiversity of this planet is the basic legacy of humanity. Living beings are nobody's developments and along these lines never be protected and put under private control. Living beings ought not to be set on a similar level as human specialize innovations. Licenses may make admittance to hereditary assets more troublesome and at times block that in some cases block that access altogether (Oldham).</w:t>
      </w:r>
    </w:p>
    <w:p w:rsidR="007A1242" w:rsidRPr="007A1242" w:rsidRDefault="007A1242" w:rsidP="007A1242">
      <w:pPr>
        <w:spacing w:after="0" w:line="480" w:lineRule="auto"/>
        <w:rPr>
          <w:rFonts w:ascii="Times New Roman" w:hAnsi="Times New Roman"/>
          <w:b/>
          <w:sz w:val="24"/>
          <w:szCs w:val="24"/>
        </w:rPr>
      </w:pPr>
      <w:r w:rsidRPr="007A1242">
        <w:rPr>
          <w:rFonts w:ascii="Times New Roman" w:hAnsi="Times New Roman"/>
          <w:b/>
          <w:sz w:val="24"/>
          <w:szCs w:val="24"/>
        </w:rPr>
        <w:t>Genes as Discoveries</w:t>
      </w:r>
    </w:p>
    <w:p w:rsidR="00192A8B" w:rsidRDefault="007A1242" w:rsidP="007A1242">
      <w:pPr>
        <w:spacing w:after="0" w:line="480" w:lineRule="auto"/>
        <w:ind w:firstLine="720"/>
        <w:rPr>
          <w:rFonts w:ascii="Times New Roman" w:hAnsi="Times New Roman"/>
          <w:sz w:val="24"/>
          <w:szCs w:val="24"/>
        </w:rPr>
      </w:pPr>
      <w:r w:rsidRPr="007A1242">
        <w:rPr>
          <w:rFonts w:ascii="Times New Roman" w:hAnsi="Times New Roman"/>
          <w:sz w:val="24"/>
          <w:szCs w:val="24"/>
        </w:rPr>
        <w:t xml:space="preserve">The Underlying issue is whether qualities and DNA groupings if disengaged are inventions or discoveries. A Discovery is the procurement of information on another yet previously existing reality about the world while innovation is something that somebody makes or creates which didn't already exist. Henceforth, the Discovery doesn't meet all requirements for the award of a patent (Noonan). I contend that the genome is a disclosure other than development. Not at all like the DNA designing of yields or particular manures created by firms. Thinking about the accomplishments in finding as though they were creations, is a bending of importance, expecting to mutilate reality. This twisting is made for a particular reason; for controlling living things similarly as one can handle machines one has concocted. Compounding my contention rivals of quality protecting contend that qualities are unadulterated revelations, instead of innovations (World Intellectual Property). They additionally call attention to that with present-day computerized quality examination procedures; the non-conspicuousness of qualities is getting suspicious since there is no innovation of another living thing. On account of Myriad Genetics, Inc., that cases licenses on restricted kinds of 2 human characteristics, BRCA1 and BRCA2 which have been associated with acquired bosom and ovarian harmful development. The patent got overrules by the court to support the offended party with the examination of the case being to that kept </w:t>
      </w:r>
      <w:r w:rsidRPr="007A1242">
        <w:rPr>
          <w:rFonts w:ascii="Times New Roman" w:hAnsi="Times New Roman"/>
          <w:sz w:val="24"/>
          <w:szCs w:val="24"/>
        </w:rPr>
        <w:lastRenderedPageBreak/>
        <w:t>quality groupings are not patentable in light of the fact that they are not uncommon from the quality progressions as they exist in nature (Chuang and Lau 2054; Simoncelli 03:15-05:21).</w:t>
      </w:r>
    </w:p>
    <w:p w:rsidR="00447FD6" w:rsidRDefault="00447FD6" w:rsidP="00192A8B">
      <w:pPr>
        <w:spacing w:after="0" w:line="480" w:lineRule="auto"/>
        <w:rPr>
          <w:rFonts w:ascii="Times New Roman" w:hAnsi="Times New Roman"/>
          <w:sz w:val="24"/>
          <w:szCs w:val="24"/>
        </w:rPr>
      </w:pPr>
    </w:p>
    <w:p w:rsidR="00762E6B" w:rsidRDefault="007D3EBE" w:rsidP="00762E6B">
      <w:pPr>
        <w:spacing w:after="0" w:line="480" w:lineRule="auto"/>
        <w:jc w:val="center"/>
        <w:rPr>
          <w:rFonts w:ascii="Times New Roman" w:hAnsi="Times New Roman"/>
          <w:sz w:val="24"/>
          <w:szCs w:val="24"/>
        </w:rPr>
      </w:pPr>
      <w:r>
        <w:rPr>
          <w:rFonts w:ascii="Times New Roman" w:hAnsi="Times New Roman"/>
          <w:sz w:val="24"/>
          <w:szCs w:val="24"/>
        </w:rPr>
        <w:t>Works Cited</w:t>
      </w:r>
    </w:p>
    <w:p w:rsidR="007A1242" w:rsidRDefault="007A1242" w:rsidP="007A1242">
      <w:pPr>
        <w:pStyle w:val="NormalWeb"/>
        <w:spacing w:line="480" w:lineRule="auto"/>
        <w:ind w:left="720" w:hanging="720"/>
      </w:pPr>
      <w:r>
        <w:t xml:space="preserve">Chuang, Chester S., and Denys T. Lau. “Patenting Human Genes: The Myriad Controversy.” </w:t>
      </w:r>
      <w:r>
        <w:rPr>
          <w:i/>
          <w:iCs/>
        </w:rPr>
        <w:t>Clinical Therapeutics</w:t>
      </w:r>
      <w:r>
        <w:t xml:space="preserve">, vol. 32, no. 12, 2010, pp. 2054–56. </w:t>
      </w:r>
      <w:r>
        <w:rPr>
          <w:i/>
          <w:iCs/>
        </w:rPr>
        <w:t>Crossref</w:t>
      </w:r>
      <w:r>
        <w:t>, doi:10.1016/j.clinthera.2010.11.013.</w:t>
      </w:r>
    </w:p>
    <w:p w:rsidR="007A1242" w:rsidRDefault="007A1242" w:rsidP="007A1242">
      <w:pPr>
        <w:pStyle w:val="NormalWeb"/>
        <w:spacing w:line="480" w:lineRule="auto"/>
        <w:ind w:left="720" w:hanging="720"/>
      </w:pPr>
      <w:r>
        <w:t xml:space="preserve">Europe Union. “DIRECTIVE 98/44/EC OF THE EUROPEAN PARLIAMENT AND OF THE COUNCIL on the Legal Protection of Biotechnological Inventions.” </w:t>
      </w:r>
      <w:r>
        <w:rPr>
          <w:i/>
          <w:iCs/>
        </w:rPr>
        <w:t>EUR-Lex.Europa.Eu</w:t>
      </w:r>
      <w:r>
        <w:t>, 1998, eur-lex.europa.eu/LexUriServ/LexUriServ.do?uri=CELEX:31998L0044:EN:HTML.</w:t>
      </w:r>
    </w:p>
    <w:p w:rsidR="007A1242" w:rsidRDefault="007A1242" w:rsidP="007A1242">
      <w:pPr>
        <w:pStyle w:val="NormalWeb"/>
        <w:spacing w:line="480" w:lineRule="auto"/>
        <w:ind w:left="720" w:hanging="720"/>
      </w:pPr>
      <w:r>
        <w:t xml:space="preserve">Noonan, Kevin E. “Falsehoods, Distortions and Outright Lies in the Gene Patenting Debate.” </w:t>
      </w:r>
      <w:r>
        <w:rPr>
          <w:i/>
          <w:iCs/>
        </w:rPr>
        <w:t>Patent Docs</w:t>
      </w:r>
      <w:r>
        <w:t>, 2009, www.patentdocs.org/2009/06/falsehoods-distortions-and-outright-lies-in-the-gene-patenting-debate.html.</w:t>
      </w:r>
    </w:p>
    <w:p w:rsidR="007A1242" w:rsidRDefault="007A1242" w:rsidP="007A1242">
      <w:pPr>
        <w:pStyle w:val="NormalWeb"/>
        <w:spacing w:line="480" w:lineRule="auto"/>
        <w:ind w:left="720" w:hanging="720"/>
      </w:pPr>
      <w:r>
        <w:t xml:space="preserve">Oldham, Paul. “Biological Diversity in the Patent System.” </w:t>
      </w:r>
      <w:r>
        <w:rPr>
          <w:i/>
          <w:iCs/>
        </w:rPr>
        <w:t>PLOS</w:t>
      </w:r>
      <w:r>
        <w:t>, PLOS, 12 Nov. 2013, journals.plos.org/plosone/article?id=10.1371/journal.pone.0078737.</w:t>
      </w:r>
    </w:p>
    <w:p w:rsidR="007A1242" w:rsidRDefault="007A1242" w:rsidP="007A1242">
      <w:pPr>
        <w:pStyle w:val="NormalWeb"/>
        <w:spacing w:line="480" w:lineRule="auto"/>
        <w:ind w:left="720" w:hanging="720"/>
      </w:pPr>
      <w:r>
        <w:t xml:space="preserve">Simoncelli, Tania. “Should You Be Able to Patent a Human Gene?” </w:t>
      </w:r>
      <w:r>
        <w:rPr>
          <w:i/>
          <w:iCs/>
        </w:rPr>
        <w:t>TED Talks</w:t>
      </w:r>
      <w:r>
        <w:t>, uploaded by TED, 27 Jan. 2016, www.ted.com/talks/tania_simoncelli_should_you_be_able_to_patent_a_human_gene.</w:t>
      </w:r>
    </w:p>
    <w:p w:rsidR="007A1242" w:rsidRDefault="007A1242" w:rsidP="007A1242">
      <w:pPr>
        <w:pStyle w:val="NormalWeb"/>
        <w:spacing w:line="480" w:lineRule="auto"/>
        <w:ind w:left="720" w:hanging="720"/>
      </w:pPr>
      <w:r>
        <w:t xml:space="preserve">University of Leicester. “DNA, Genes and Chromosomes — University of Leicester.” </w:t>
      </w:r>
      <w:r>
        <w:rPr>
          <w:i/>
          <w:iCs/>
        </w:rPr>
        <w:t>University of Leicester</w:t>
      </w:r>
      <w:r>
        <w:t xml:space="preserve">, </w:t>
      </w:r>
      <w:r>
        <w:lastRenderedPageBreak/>
        <w:t>www2.le.ac.uk/projects/vgec/schoolsandcolleges/topics/dnageneschromosomes. Accessed 27 Jan. 2021.</w:t>
      </w:r>
    </w:p>
    <w:p w:rsidR="007A1242" w:rsidRDefault="007A1242" w:rsidP="007A1242">
      <w:pPr>
        <w:pStyle w:val="NormalWeb"/>
        <w:spacing w:line="480" w:lineRule="auto"/>
        <w:ind w:left="720" w:hanging="720"/>
      </w:pPr>
      <w:r>
        <w:t xml:space="preserve">Wendover Productions. “The Gene Patent Question.” </w:t>
      </w:r>
      <w:r>
        <w:rPr>
          <w:i/>
          <w:iCs/>
        </w:rPr>
        <w:t>YouTube</w:t>
      </w:r>
      <w:r>
        <w:t>, uploaded by Wendover Productions, 19 Dec. 2017, www.youtube.com/watch?v=voozHXadYYE.</w:t>
      </w:r>
    </w:p>
    <w:p w:rsidR="007A1242" w:rsidRDefault="007A1242" w:rsidP="007A1242">
      <w:pPr>
        <w:pStyle w:val="NormalWeb"/>
        <w:spacing w:line="480" w:lineRule="auto"/>
        <w:ind w:left="720" w:hanging="720"/>
      </w:pPr>
      <w:r>
        <w:t xml:space="preserve">World Intellectual Property. “Patents.” </w:t>
      </w:r>
      <w:r>
        <w:rPr>
          <w:i/>
          <w:iCs/>
        </w:rPr>
        <w:t>World Intellectual Property</w:t>
      </w:r>
      <w:r>
        <w:t>, www.wipo.int/patents/en. Accessed 27 Jan. 2021.</w:t>
      </w:r>
    </w:p>
    <w:p w:rsidR="00762E6B" w:rsidRPr="0075775D" w:rsidRDefault="00762E6B" w:rsidP="006961D4">
      <w:pPr>
        <w:spacing w:after="0" w:line="480" w:lineRule="auto"/>
        <w:rPr>
          <w:rFonts w:ascii="Times New Roman" w:hAnsi="Times New Roman"/>
          <w:sz w:val="24"/>
          <w:szCs w:val="24"/>
        </w:rPr>
      </w:pPr>
    </w:p>
    <w:p w:rsidR="007D3EBE" w:rsidRPr="00D133DD" w:rsidRDefault="007D3EBE" w:rsidP="006961D4">
      <w:pPr>
        <w:spacing w:after="0" w:line="480" w:lineRule="auto"/>
        <w:ind w:left="720" w:hanging="720"/>
        <w:rPr>
          <w:rFonts w:ascii="Times New Roman" w:hAnsi="Times New Roman"/>
          <w:sz w:val="24"/>
          <w:szCs w:val="24"/>
        </w:rPr>
      </w:pPr>
      <w:r w:rsidRPr="00FE247C">
        <w:rPr>
          <w:rFonts w:ascii="Times New Roman" w:hAnsi="Times New Roman"/>
          <w:sz w:val="24"/>
          <w:szCs w:val="24"/>
          <w:shd w:val="clear" w:color="auto" w:fill="FFFFFF"/>
        </w:rPr>
        <w:t xml:space="preserve"> </w:t>
      </w:r>
    </w:p>
    <w:p w:rsidR="007D3EBE" w:rsidRDefault="007D3EBE" w:rsidP="006961D4">
      <w:pPr>
        <w:spacing w:after="0" w:line="480" w:lineRule="auto"/>
      </w:pPr>
    </w:p>
    <w:p w:rsidR="002F7342" w:rsidRDefault="002F7342"/>
    <w:sectPr w:rsidR="002F7342" w:rsidSect="00054CF7">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EF" w:rsidRDefault="003862EF" w:rsidP="006961D4">
      <w:pPr>
        <w:spacing w:after="0" w:line="240" w:lineRule="auto"/>
      </w:pPr>
      <w:r>
        <w:separator/>
      </w:r>
    </w:p>
  </w:endnote>
  <w:endnote w:type="continuationSeparator" w:id="0">
    <w:p w:rsidR="003862EF" w:rsidRDefault="003862EF" w:rsidP="00696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EF" w:rsidRDefault="003862EF" w:rsidP="006961D4">
      <w:pPr>
        <w:spacing w:after="0" w:line="240" w:lineRule="auto"/>
      </w:pPr>
      <w:r>
        <w:separator/>
      </w:r>
    </w:p>
  </w:footnote>
  <w:footnote w:type="continuationSeparator" w:id="0">
    <w:p w:rsidR="003862EF" w:rsidRDefault="003862EF" w:rsidP="00696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73" w:rsidRPr="00B02614" w:rsidRDefault="00A266D8" w:rsidP="00054CF7">
    <w:pPr>
      <w:pStyle w:val="Header1"/>
      <w:tabs>
        <w:tab w:val="clear" w:pos="4680"/>
        <w:tab w:val="clear" w:pos="9360"/>
        <w:tab w:val="center" w:pos="-4230"/>
      </w:tabs>
      <w:jc w:val="right"/>
      <w:rPr>
        <w:rFonts w:ascii="Times New Roman" w:hAnsi="Times New Roman"/>
        <w:caps/>
        <w:sz w:val="24"/>
        <w:szCs w:val="24"/>
      </w:rPr>
    </w:pPr>
    <w:r>
      <w:rPr>
        <w:rFonts w:ascii="Times New Roman" w:hAnsi="Times New Roman"/>
        <w:sz w:val="24"/>
        <w:szCs w:val="24"/>
      </w:rPr>
      <w:t xml:space="preserve">Surname </w:t>
    </w:r>
    <w:r w:rsidRPr="00C418EA">
      <w:rPr>
        <w:rFonts w:ascii="Times New Roman" w:hAnsi="Times New Roman"/>
        <w:sz w:val="24"/>
      </w:rPr>
      <w:fldChar w:fldCharType="begin"/>
    </w:r>
    <w:r w:rsidRPr="00C418EA">
      <w:rPr>
        <w:rFonts w:ascii="Times New Roman" w:hAnsi="Times New Roman"/>
        <w:sz w:val="24"/>
      </w:rPr>
      <w:instrText xml:space="preserve"> PAGE   \* MERGEFORMAT </w:instrText>
    </w:r>
    <w:r w:rsidRPr="00C418EA">
      <w:rPr>
        <w:rFonts w:ascii="Times New Roman" w:hAnsi="Times New Roman"/>
        <w:sz w:val="24"/>
      </w:rPr>
      <w:fldChar w:fldCharType="separate"/>
    </w:r>
    <w:r w:rsidR="00572A79">
      <w:rPr>
        <w:rFonts w:ascii="Times New Roman" w:hAnsi="Times New Roman"/>
        <w:noProof/>
        <w:sz w:val="24"/>
      </w:rPr>
      <w:t>3</w:t>
    </w:r>
    <w:r w:rsidRPr="00C418EA">
      <w:rPr>
        <w:rFonts w:ascii="Times New Roman" w:hAnsi="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73" w:rsidRDefault="00A266D8" w:rsidP="00054CF7">
    <w:pPr>
      <w:spacing w:after="0" w:line="240" w:lineRule="auto"/>
      <w:jc w:val="right"/>
      <w:outlineLvl w:val="0"/>
    </w:pPr>
    <w:r>
      <w:rPr>
        <w:rFonts w:ascii="Times New Roman" w:hAnsi="Times New Roman"/>
        <w:sz w:val="24"/>
        <w:szCs w:val="24"/>
      </w:rPr>
      <w:t xml:space="preserve">                                                   Surname</w:t>
    </w:r>
    <w:r w:rsidRPr="00C418EA">
      <w:rPr>
        <w:rFonts w:ascii="Times New Roman" w:hAnsi="Times New Roman"/>
        <w:sz w:val="24"/>
      </w:rPr>
      <w:fldChar w:fldCharType="begin"/>
    </w:r>
    <w:r w:rsidRPr="00C418EA">
      <w:rPr>
        <w:rFonts w:ascii="Times New Roman" w:hAnsi="Times New Roman"/>
        <w:sz w:val="24"/>
      </w:rPr>
      <w:instrText xml:space="preserve"> PAGE   \* MERGEFORMAT </w:instrText>
    </w:r>
    <w:r w:rsidRPr="00C418EA">
      <w:rPr>
        <w:rFonts w:ascii="Times New Roman" w:hAnsi="Times New Roman"/>
        <w:sz w:val="24"/>
      </w:rPr>
      <w:fldChar w:fldCharType="separate"/>
    </w:r>
    <w:r>
      <w:rPr>
        <w:rFonts w:ascii="Times New Roman" w:hAnsi="Times New Roman"/>
        <w:noProof/>
        <w:sz w:val="24"/>
      </w:rPr>
      <w:t>1</w:t>
    </w:r>
    <w:r w:rsidRPr="00C418EA">
      <w:rPr>
        <w:rFonts w:ascii="Times New Roman" w:hAnsi="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97962"/>
    <w:multiLevelType w:val="hybridMultilevel"/>
    <w:tmpl w:val="0E96D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0MDAwMDEyMjM3NjZR0lEKTi0uzszPAykwrQUAWyjKliwAAAA="/>
  </w:docVars>
  <w:rsids>
    <w:rsidRoot w:val="00E84801"/>
    <w:rsid w:val="00015014"/>
    <w:rsid w:val="00016412"/>
    <w:rsid w:val="000167AA"/>
    <w:rsid w:val="0003215C"/>
    <w:rsid w:val="0005248B"/>
    <w:rsid w:val="000625B5"/>
    <w:rsid w:val="000851D8"/>
    <w:rsid w:val="00085FC3"/>
    <w:rsid w:val="000971DD"/>
    <w:rsid w:val="000B1689"/>
    <w:rsid w:val="000C3451"/>
    <w:rsid w:val="000D1091"/>
    <w:rsid w:val="000E02FA"/>
    <w:rsid w:val="000E56F4"/>
    <w:rsid w:val="00102311"/>
    <w:rsid w:val="00170CBA"/>
    <w:rsid w:val="00180662"/>
    <w:rsid w:val="00191D29"/>
    <w:rsid w:val="00192A8B"/>
    <w:rsid w:val="001A31A2"/>
    <w:rsid w:val="001B5BE2"/>
    <w:rsid w:val="001C2016"/>
    <w:rsid w:val="001E4BB5"/>
    <w:rsid w:val="001E5A36"/>
    <w:rsid w:val="00204ADB"/>
    <w:rsid w:val="00277151"/>
    <w:rsid w:val="002A2BFE"/>
    <w:rsid w:val="002B3B5A"/>
    <w:rsid w:val="002B6291"/>
    <w:rsid w:val="002C0071"/>
    <w:rsid w:val="002F5BEC"/>
    <w:rsid w:val="002F7342"/>
    <w:rsid w:val="0030700A"/>
    <w:rsid w:val="00321BB0"/>
    <w:rsid w:val="0032515E"/>
    <w:rsid w:val="0032656A"/>
    <w:rsid w:val="00340E9D"/>
    <w:rsid w:val="003862EF"/>
    <w:rsid w:val="00397A21"/>
    <w:rsid w:val="003C58F9"/>
    <w:rsid w:val="003D22E6"/>
    <w:rsid w:val="00404717"/>
    <w:rsid w:val="00446C1F"/>
    <w:rsid w:val="00447FD6"/>
    <w:rsid w:val="004823B4"/>
    <w:rsid w:val="004840BD"/>
    <w:rsid w:val="004875D2"/>
    <w:rsid w:val="00497BA9"/>
    <w:rsid w:val="004D7BFA"/>
    <w:rsid w:val="004F4A75"/>
    <w:rsid w:val="00505D48"/>
    <w:rsid w:val="00536F02"/>
    <w:rsid w:val="00572A79"/>
    <w:rsid w:val="005C168A"/>
    <w:rsid w:val="005D77EA"/>
    <w:rsid w:val="005F5CC6"/>
    <w:rsid w:val="006148D0"/>
    <w:rsid w:val="006233C6"/>
    <w:rsid w:val="00623EA3"/>
    <w:rsid w:val="006361AA"/>
    <w:rsid w:val="00687349"/>
    <w:rsid w:val="006961D4"/>
    <w:rsid w:val="006A5A86"/>
    <w:rsid w:val="006E51BB"/>
    <w:rsid w:val="007038C1"/>
    <w:rsid w:val="007129D2"/>
    <w:rsid w:val="00732F4D"/>
    <w:rsid w:val="0073367F"/>
    <w:rsid w:val="00734E21"/>
    <w:rsid w:val="00762E6B"/>
    <w:rsid w:val="0076332C"/>
    <w:rsid w:val="00791DF2"/>
    <w:rsid w:val="007A1242"/>
    <w:rsid w:val="007A3684"/>
    <w:rsid w:val="007D3EBE"/>
    <w:rsid w:val="007E6C7F"/>
    <w:rsid w:val="007E6DBD"/>
    <w:rsid w:val="007F5F7B"/>
    <w:rsid w:val="00814B5C"/>
    <w:rsid w:val="00817AB3"/>
    <w:rsid w:val="00847374"/>
    <w:rsid w:val="00847737"/>
    <w:rsid w:val="008E00B3"/>
    <w:rsid w:val="008E5943"/>
    <w:rsid w:val="008E72F3"/>
    <w:rsid w:val="00910F48"/>
    <w:rsid w:val="0093568C"/>
    <w:rsid w:val="00946EB2"/>
    <w:rsid w:val="009629C9"/>
    <w:rsid w:val="009650EA"/>
    <w:rsid w:val="00993043"/>
    <w:rsid w:val="009A7293"/>
    <w:rsid w:val="00A155D5"/>
    <w:rsid w:val="00A22954"/>
    <w:rsid w:val="00A266D8"/>
    <w:rsid w:val="00A63BEB"/>
    <w:rsid w:val="00AA4EF7"/>
    <w:rsid w:val="00AB1231"/>
    <w:rsid w:val="00AD1889"/>
    <w:rsid w:val="00AD710C"/>
    <w:rsid w:val="00AE44C8"/>
    <w:rsid w:val="00AF4EE6"/>
    <w:rsid w:val="00B047B7"/>
    <w:rsid w:val="00B04E86"/>
    <w:rsid w:val="00B15C85"/>
    <w:rsid w:val="00B34256"/>
    <w:rsid w:val="00B43B71"/>
    <w:rsid w:val="00B650F5"/>
    <w:rsid w:val="00B90D3A"/>
    <w:rsid w:val="00B94481"/>
    <w:rsid w:val="00B96513"/>
    <w:rsid w:val="00BB321A"/>
    <w:rsid w:val="00BB508A"/>
    <w:rsid w:val="00BD302E"/>
    <w:rsid w:val="00C05B02"/>
    <w:rsid w:val="00C26A8D"/>
    <w:rsid w:val="00CC6C12"/>
    <w:rsid w:val="00CD5F08"/>
    <w:rsid w:val="00CE613D"/>
    <w:rsid w:val="00CE7EAA"/>
    <w:rsid w:val="00CF0725"/>
    <w:rsid w:val="00D13AB8"/>
    <w:rsid w:val="00D23B97"/>
    <w:rsid w:val="00D37F3E"/>
    <w:rsid w:val="00D414F9"/>
    <w:rsid w:val="00D447EF"/>
    <w:rsid w:val="00D92F0C"/>
    <w:rsid w:val="00D95B73"/>
    <w:rsid w:val="00DA25A0"/>
    <w:rsid w:val="00DB6B4C"/>
    <w:rsid w:val="00DD51F3"/>
    <w:rsid w:val="00E072EC"/>
    <w:rsid w:val="00E462C7"/>
    <w:rsid w:val="00E5270B"/>
    <w:rsid w:val="00E6120E"/>
    <w:rsid w:val="00E70263"/>
    <w:rsid w:val="00E84801"/>
    <w:rsid w:val="00E84C7E"/>
    <w:rsid w:val="00E97386"/>
    <w:rsid w:val="00EA216D"/>
    <w:rsid w:val="00EE42EE"/>
    <w:rsid w:val="00F34979"/>
    <w:rsid w:val="00F52DDC"/>
    <w:rsid w:val="00F55B47"/>
    <w:rsid w:val="00F61AFD"/>
    <w:rsid w:val="00F7098B"/>
    <w:rsid w:val="00F9294B"/>
    <w:rsid w:val="00FA0155"/>
    <w:rsid w:val="00FD7783"/>
    <w:rsid w:val="00FE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B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D3EBE"/>
    <w:pPr>
      <w:tabs>
        <w:tab w:val="center" w:pos="4680"/>
        <w:tab w:val="right" w:pos="9360"/>
      </w:tabs>
      <w:spacing w:after="0" w:line="240" w:lineRule="auto"/>
    </w:pPr>
  </w:style>
  <w:style w:type="character" w:customStyle="1" w:styleId="HeaderChar">
    <w:name w:val="Header Char"/>
    <w:link w:val="Header1"/>
    <w:uiPriority w:val="99"/>
    <w:rsid w:val="007D3EBE"/>
    <w:rPr>
      <w:rFonts w:ascii="Calibri" w:eastAsia="Calibri" w:hAnsi="Calibri" w:cs="Times New Roman"/>
    </w:rPr>
  </w:style>
  <w:style w:type="paragraph" w:styleId="Bibliography">
    <w:name w:val="Bibliography"/>
    <w:basedOn w:val="Normal"/>
    <w:next w:val="Normal"/>
    <w:uiPriority w:val="37"/>
    <w:unhideWhenUsed/>
    <w:rsid w:val="007D3EBE"/>
  </w:style>
  <w:style w:type="paragraph" w:styleId="Header">
    <w:name w:val="header"/>
    <w:basedOn w:val="Normal"/>
    <w:link w:val="HeaderChar1"/>
    <w:uiPriority w:val="99"/>
    <w:unhideWhenUsed/>
    <w:rsid w:val="007D3EB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D3EBE"/>
    <w:rPr>
      <w:rFonts w:ascii="Calibri" w:eastAsia="Calibri" w:hAnsi="Calibri" w:cs="Times New Roman"/>
    </w:rPr>
  </w:style>
  <w:style w:type="paragraph" w:styleId="BalloonText">
    <w:name w:val="Balloon Text"/>
    <w:basedOn w:val="Normal"/>
    <w:link w:val="BalloonTextChar"/>
    <w:uiPriority w:val="99"/>
    <w:semiHidden/>
    <w:unhideWhenUsed/>
    <w:rsid w:val="007D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BE"/>
    <w:rPr>
      <w:rFonts w:ascii="Tahoma" w:eastAsia="Calibri" w:hAnsi="Tahoma" w:cs="Tahoma"/>
      <w:sz w:val="16"/>
      <w:szCs w:val="16"/>
    </w:rPr>
  </w:style>
  <w:style w:type="paragraph" w:styleId="Footer">
    <w:name w:val="footer"/>
    <w:basedOn w:val="Normal"/>
    <w:link w:val="FooterChar"/>
    <w:uiPriority w:val="99"/>
    <w:unhideWhenUsed/>
    <w:rsid w:val="0069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D4"/>
    <w:rPr>
      <w:rFonts w:ascii="Calibri" w:eastAsia="Calibri" w:hAnsi="Calibri" w:cs="Times New Roman"/>
    </w:rPr>
  </w:style>
  <w:style w:type="paragraph" w:styleId="ListParagraph">
    <w:name w:val="List Paragraph"/>
    <w:basedOn w:val="Normal"/>
    <w:uiPriority w:val="34"/>
    <w:qFormat/>
    <w:rsid w:val="007A1242"/>
    <w:pPr>
      <w:spacing w:after="200" w:line="276"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A1242"/>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B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7D3EBE"/>
    <w:pPr>
      <w:tabs>
        <w:tab w:val="center" w:pos="4680"/>
        <w:tab w:val="right" w:pos="9360"/>
      </w:tabs>
      <w:spacing w:after="0" w:line="240" w:lineRule="auto"/>
    </w:pPr>
  </w:style>
  <w:style w:type="character" w:customStyle="1" w:styleId="HeaderChar">
    <w:name w:val="Header Char"/>
    <w:link w:val="Header1"/>
    <w:uiPriority w:val="99"/>
    <w:rsid w:val="007D3EBE"/>
    <w:rPr>
      <w:rFonts w:ascii="Calibri" w:eastAsia="Calibri" w:hAnsi="Calibri" w:cs="Times New Roman"/>
    </w:rPr>
  </w:style>
  <w:style w:type="paragraph" w:styleId="Bibliography">
    <w:name w:val="Bibliography"/>
    <w:basedOn w:val="Normal"/>
    <w:next w:val="Normal"/>
    <w:uiPriority w:val="37"/>
    <w:unhideWhenUsed/>
    <w:rsid w:val="007D3EBE"/>
  </w:style>
  <w:style w:type="paragraph" w:styleId="Header">
    <w:name w:val="header"/>
    <w:basedOn w:val="Normal"/>
    <w:link w:val="HeaderChar1"/>
    <w:uiPriority w:val="99"/>
    <w:unhideWhenUsed/>
    <w:rsid w:val="007D3EBE"/>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7D3EBE"/>
    <w:rPr>
      <w:rFonts w:ascii="Calibri" w:eastAsia="Calibri" w:hAnsi="Calibri" w:cs="Times New Roman"/>
    </w:rPr>
  </w:style>
  <w:style w:type="paragraph" w:styleId="BalloonText">
    <w:name w:val="Balloon Text"/>
    <w:basedOn w:val="Normal"/>
    <w:link w:val="BalloonTextChar"/>
    <w:uiPriority w:val="99"/>
    <w:semiHidden/>
    <w:unhideWhenUsed/>
    <w:rsid w:val="007D3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EBE"/>
    <w:rPr>
      <w:rFonts w:ascii="Tahoma" w:eastAsia="Calibri" w:hAnsi="Tahoma" w:cs="Tahoma"/>
      <w:sz w:val="16"/>
      <w:szCs w:val="16"/>
    </w:rPr>
  </w:style>
  <w:style w:type="paragraph" w:styleId="Footer">
    <w:name w:val="footer"/>
    <w:basedOn w:val="Normal"/>
    <w:link w:val="FooterChar"/>
    <w:uiPriority w:val="99"/>
    <w:unhideWhenUsed/>
    <w:rsid w:val="00696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1D4"/>
    <w:rPr>
      <w:rFonts w:ascii="Calibri" w:eastAsia="Calibri" w:hAnsi="Calibri" w:cs="Times New Roman"/>
    </w:rPr>
  </w:style>
  <w:style w:type="paragraph" w:styleId="ListParagraph">
    <w:name w:val="List Paragraph"/>
    <w:basedOn w:val="Normal"/>
    <w:uiPriority w:val="34"/>
    <w:qFormat/>
    <w:rsid w:val="007A1242"/>
    <w:pPr>
      <w:spacing w:after="200" w:line="276"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A124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59308">
      <w:bodyDiv w:val="1"/>
      <w:marLeft w:val="0"/>
      <w:marRight w:val="0"/>
      <w:marTop w:val="0"/>
      <w:marBottom w:val="0"/>
      <w:divBdr>
        <w:top w:val="none" w:sz="0" w:space="0" w:color="auto"/>
        <w:left w:val="none" w:sz="0" w:space="0" w:color="auto"/>
        <w:bottom w:val="none" w:sz="0" w:space="0" w:color="auto"/>
        <w:right w:val="none" w:sz="0" w:space="0" w:color="auto"/>
      </w:divBdr>
    </w:div>
    <w:div w:id="1073893288">
      <w:bodyDiv w:val="1"/>
      <w:marLeft w:val="0"/>
      <w:marRight w:val="0"/>
      <w:marTop w:val="0"/>
      <w:marBottom w:val="0"/>
      <w:divBdr>
        <w:top w:val="none" w:sz="0" w:space="0" w:color="auto"/>
        <w:left w:val="none" w:sz="0" w:space="0" w:color="auto"/>
        <w:bottom w:val="none" w:sz="0" w:space="0" w:color="auto"/>
        <w:right w:val="none" w:sz="0" w:space="0" w:color="auto"/>
      </w:divBdr>
    </w:div>
    <w:div w:id="1220169538">
      <w:bodyDiv w:val="1"/>
      <w:marLeft w:val="0"/>
      <w:marRight w:val="0"/>
      <w:marTop w:val="0"/>
      <w:marBottom w:val="0"/>
      <w:divBdr>
        <w:top w:val="none" w:sz="0" w:space="0" w:color="auto"/>
        <w:left w:val="none" w:sz="0" w:space="0" w:color="auto"/>
        <w:bottom w:val="none" w:sz="0" w:space="0" w:color="auto"/>
        <w:right w:val="none" w:sz="0" w:space="0" w:color="auto"/>
      </w:divBdr>
      <w:divsChild>
        <w:div w:id="300766426">
          <w:marLeft w:val="0"/>
          <w:marRight w:val="0"/>
          <w:marTop w:val="0"/>
          <w:marBottom w:val="0"/>
          <w:divBdr>
            <w:top w:val="none" w:sz="0" w:space="0" w:color="auto"/>
            <w:left w:val="none" w:sz="0" w:space="0" w:color="auto"/>
            <w:bottom w:val="none" w:sz="0" w:space="0" w:color="auto"/>
            <w:right w:val="none" w:sz="0" w:space="0" w:color="auto"/>
          </w:divBdr>
        </w:div>
      </w:divsChild>
    </w:div>
    <w:div w:id="145150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Pat93</b:Tag>
    <b:SourceType>Book</b:SourceType>
    <b:Guid>{CE8C2059-2AB3-4ACC-9D97-6ED1CFDFFEF6}</b:Guid>
    <b:Title>The oxford guide to the United States government</b:Title>
    <b:Year>1993</b:Year>
    <b:City>Oxford</b:City>
    <b:Publisher>Oxford University Press</b:Publisher>
    <b:Author>
      <b:Author>
        <b:NameList>
          <b:Person>
            <b:Last>Patrick</b:Last>
            <b:Middle>J</b:Middle>
            <b:First>John</b:First>
          </b:Person>
          <b:Person>
            <b:Last>Pious</b:Last>
            <b:Middle>M</b:Middle>
            <b:First>Richard</b:First>
          </b:Person>
          <b:Person>
            <b:Last>Ritchie</b:Last>
            <b:Middle>A</b:Middle>
            <b:First>Donald</b:First>
          </b:Person>
        </b:NameList>
      </b:Author>
    </b:Author>
    <b:RefOrder>1</b:RefOrder>
  </b:Source>
  <b:Source>
    <b:Tag>Nat10</b:Tag>
    <b:SourceType>InternetSite</b:SourceType>
    <b:Guid>{92B09EF5-4F9F-42F2-B063-25B5FABE41B6}</b:Guid>
    <b:Title>Separation of power- An overview</b:Title>
    <b:Year>2010</b:Year>
    <b:Month>June</b:Month>
    <b:Day>4</b:Day>
    <b:YearAccessed>2018</b:YearAccessed>
    <b:MonthAccessed>August</b:MonthAccessed>
    <b:DayAccessed>19</b:DayAccessed>
    <b:URL>http://www.ncsl.org/research/about-state-legislatures/separation-of-powers-an-overview.aspx</b:URL>
    <b:Author>
      <b:Author>
        <b:Corporate>National Conference of State Legislature</b:Corporate>
      </b:Author>
    </b:Author>
    <b:RefOrder>2</b:RefOrder>
  </b:Source>
  <b:Source>
    <b:Tag>USA18</b:Tag>
    <b:SourceType>InternetSite</b:SourceType>
    <b:Guid>{53D7A19A-3FAA-4E47-8034-4F4AD743353A}</b:Guid>
    <b:Title>Branches of the US government</b:Title>
    <b:Year>2018</b:Year>
    <b:Month>April</b:Month>
    <b:Day>04</b:Day>
    <b:YearAccessed>2018</b:YearAccessed>
    <b:MonthAccessed>August</b:MonthAccessed>
    <b:DayAccessed>19</b:DayAccessed>
    <b:URL>https://www.usa.gov/branches-of-government</b:URL>
    <b:Author>
      <b:Author>
        <b:Corporate>USA.gov</b:Corporate>
      </b:Author>
    </b:Author>
    <b:RefOrder>3</b:RefOrder>
  </b:Source>
</b:Sources>
</file>

<file path=customXml/itemProps1.xml><?xml version="1.0" encoding="utf-8"?>
<ds:datastoreItem xmlns:ds="http://schemas.openxmlformats.org/officeDocument/2006/customXml" ds:itemID="{862BA61F-E516-4566-9748-191471E1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VINNY</cp:lastModifiedBy>
  <cp:revision>2</cp:revision>
  <dcterms:created xsi:type="dcterms:W3CDTF">2021-01-27T17:17:00Z</dcterms:created>
  <dcterms:modified xsi:type="dcterms:W3CDTF">2021-01-27T17:17:00Z</dcterms:modified>
</cp:coreProperties>
</file>